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D6" w:rsidRDefault="00593DD6" w:rsidP="00593DD6">
      <w:pPr>
        <w:pStyle w:val="NormalWeb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IMPUGNACION PREGUNTA 131 VERSION 0. </w:t>
      </w:r>
    </w:p>
    <w:p w:rsidR="00593DD6" w:rsidRDefault="00593DD6" w:rsidP="00593DD6">
      <w:pPr>
        <w:pStyle w:val="NormalWeb"/>
        <w:jc w:val="both"/>
      </w:pPr>
      <w:r>
        <w:rPr>
          <w:rFonts w:ascii="ArialMT" w:hAnsi="ArialMT"/>
          <w:sz w:val="22"/>
          <w:szCs w:val="22"/>
        </w:rPr>
        <w:t xml:space="preserve">Sobre la pregunta 131 de la </w:t>
      </w:r>
      <w:proofErr w:type="spellStart"/>
      <w:r>
        <w:rPr>
          <w:rFonts w:ascii="ArialMT" w:hAnsi="ArialMT"/>
          <w:sz w:val="22"/>
          <w:szCs w:val="22"/>
        </w:rPr>
        <w:t>versión</w:t>
      </w:r>
      <w:proofErr w:type="spellEnd"/>
      <w:r>
        <w:rPr>
          <w:rFonts w:ascii="ArialMT" w:hAnsi="ArialMT"/>
          <w:sz w:val="22"/>
          <w:szCs w:val="22"/>
        </w:rPr>
        <w:t xml:space="preserve"> 0, el tribunal calificador del Ministerio da por respuesta correcta la </w:t>
      </w:r>
      <w:proofErr w:type="spellStart"/>
      <w:r>
        <w:rPr>
          <w:rFonts w:ascii="ArialMT" w:hAnsi="ArialMT"/>
          <w:sz w:val="22"/>
          <w:szCs w:val="22"/>
        </w:rPr>
        <w:t>opción</w:t>
      </w:r>
      <w:proofErr w:type="spellEnd"/>
      <w:r>
        <w:rPr>
          <w:rFonts w:ascii="ArialMT" w:hAnsi="ArialMT"/>
          <w:sz w:val="22"/>
          <w:szCs w:val="22"/>
        </w:rPr>
        <w:t xml:space="preserve"> 3. </w:t>
      </w:r>
    </w:p>
    <w:p w:rsidR="00593DD6" w:rsidRDefault="00593DD6" w:rsidP="00593DD6">
      <w:pPr>
        <w:pStyle w:val="NormalWeb"/>
        <w:jc w:val="both"/>
      </w:pPr>
      <w:r>
        <w:rPr>
          <w:rFonts w:ascii="ArialMT" w:hAnsi="ArialMT"/>
          <w:sz w:val="22"/>
          <w:szCs w:val="22"/>
        </w:rPr>
        <w:t xml:space="preserve">Se solicita el cambio de respuesta a la </w:t>
      </w:r>
      <w:proofErr w:type="spellStart"/>
      <w:r>
        <w:rPr>
          <w:rFonts w:ascii="ArialMT" w:hAnsi="ArialMT"/>
          <w:sz w:val="22"/>
          <w:szCs w:val="22"/>
        </w:rPr>
        <w:t>opció</w:t>
      </w:r>
      <w:bookmarkStart w:id="0" w:name="_GoBack"/>
      <w:bookmarkEnd w:id="0"/>
      <w:r>
        <w:rPr>
          <w:rFonts w:ascii="ArialMT" w:hAnsi="ArialMT"/>
          <w:sz w:val="22"/>
          <w:szCs w:val="22"/>
        </w:rPr>
        <w:t>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número</w:t>
      </w:r>
      <w:proofErr w:type="spellEnd"/>
      <w:r>
        <w:rPr>
          <w:rFonts w:ascii="ArialMT" w:hAnsi="ArialMT"/>
          <w:sz w:val="22"/>
          <w:szCs w:val="22"/>
        </w:rPr>
        <w:t xml:space="preserve"> 4, teniendo en cuenta: </w:t>
      </w:r>
    </w:p>
    <w:p w:rsidR="00593DD6" w:rsidRDefault="00593DD6" w:rsidP="00593DD6">
      <w:pPr>
        <w:pStyle w:val="NormalWeb"/>
        <w:jc w:val="both"/>
      </w:pPr>
      <w:r>
        <w:rPr>
          <w:rFonts w:ascii="ArialMT" w:hAnsi="ArialMT"/>
          <w:sz w:val="22"/>
          <w:szCs w:val="22"/>
        </w:rPr>
        <w:t xml:space="preserve">En la </w:t>
      </w:r>
      <w:r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Guía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práctica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clínica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para el manejo de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vía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subcutánea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”, </w:t>
      </w:r>
      <w:r>
        <w:rPr>
          <w:rFonts w:ascii="ArialMT" w:hAnsi="ArialMT"/>
          <w:sz w:val="22"/>
          <w:szCs w:val="22"/>
        </w:rPr>
        <w:t xml:space="preserve">publicada en la “Biblioteca de </w:t>
      </w:r>
      <w:proofErr w:type="spellStart"/>
      <w:r>
        <w:rPr>
          <w:rFonts w:ascii="ArialMT" w:hAnsi="ArialMT"/>
          <w:sz w:val="22"/>
          <w:szCs w:val="22"/>
        </w:rPr>
        <w:t>Guías</w:t>
      </w:r>
      <w:proofErr w:type="spellEnd"/>
      <w:r>
        <w:rPr>
          <w:rFonts w:ascii="ArialMT" w:hAnsi="ArialMT"/>
          <w:sz w:val="22"/>
          <w:szCs w:val="22"/>
        </w:rPr>
        <w:t xml:space="preserve"> de la </w:t>
      </w:r>
      <w:proofErr w:type="spellStart"/>
      <w:r>
        <w:rPr>
          <w:rFonts w:ascii="ArialMT" w:hAnsi="ArialMT"/>
          <w:sz w:val="22"/>
          <w:szCs w:val="22"/>
        </w:rPr>
        <w:t>Práctica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Clínica</w:t>
      </w:r>
      <w:proofErr w:type="spellEnd"/>
      <w:r>
        <w:rPr>
          <w:rFonts w:ascii="ArialMT" w:hAnsi="ArialMT"/>
          <w:sz w:val="22"/>
          <w:szCs w:val="22"/>
        </w:rPr>
        <w:t xml:space="preserve"> del Sistema Nacional de Salud” (portal GuíaSalud.es), avalado por el ministerio de Sanidad se expone: </w:t>
      </w:r>
    </w:p>
    <w:p w:rsidR="00593DD6" w:rsidRDefault="00593DD6" w:rsidP="00593DD6">
      <w:pPr>
        <w:pStyle w:val="NormalWeb"/>
        <w:jc w:val="both"/>
      </w:pPr>
      <w:r>
        <w:rPr>
          <w:rFonts w:ascii="SymbolMT" w:hAnsi="SymbolMT"/>
        </w:rPr>
        <w:t xml:space="preserve">• </w:t>
      </w:r>
      <w:r>
        <w:rPr>
          <w:rFonts w:ascii="Arial" w:hAnsi="Arial" w:cs="Arial"/>
          <w:b/>
          <w:bCs/>
          <w:sz w:val="22"/>
          <w:szCs w:val="22"/>
        </w:rPr>
        <w:t xml:space="preserve">“Vigilancia diaria y cambio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catéter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cuando se precise, siendo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más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frecuente la necesidad de cambio en casos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hidratación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”. </w:t>
      </w:r>
    </w:p>
    <w:p w:rsidR="00593DD6" w:rsidRDefault="00593DD6" w:rsidP="00593DD6">
      <w:pPr>
        <w:pStyle w:val="NormalWeb"/>
        <w:jc w:val="both"/>
      </w:pPr>
      <w:r>
        <w:rPr>
          <w:rFonts w:ascii="ArialMT" w:hAnsi="ArialMT"/>
          <w:sz w:val="22"/>
          <w:szCs w:val="22"/>
        </w:rPr>
        <w:t xml:space="preserve">Por otra parte, en la </w:t>
      </w:r>
      <w:proofErr w:type="spellStart"/>
      <w:r>
        <w:rPr>
          <w:rFonts w:ascii="ArialMT" w:hAnsi="ArialMT"/>
          <w:sz w:val="22"/>
          <w:szCs w:val="22"/>
        </w:rPr>
        <w:t>Guía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clínica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vía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subcutánea</w:t>
      </w:r>
      <w:proofErr w:type="spellEnd"/>
      <w:r>
        <w:rPr>
          <w:rFonts w:ascii="ArialMT" w:hAnsi="ArialMT"/>
          <w:sz w:val="22"/>
          <w:szCs w:val="22"/>
        </w:rPr>
        <w:t xml:space="preserve">, usos y recomendaciones publicada por el observatorio regional de cuidados paliativos de Extremadura y </w:t>
      </w:r>
      <w:proofErr w:type="spellStart"/>
      <w:r>
        <w:rPr>
          <w:rFonts w:ascii="ArialMT" w:hAnsi="ArialMT"/>
          <w:sz w:val="22"/>
          <w:szCs w:val="22"/>
        </w:rPr>
        <w:t>asi</w:t>
      </w:r>
      <w:proofErr w:type="spellEnd"/>
      <w:r>
        <w:rPr>
          <w:rFonts w:ascii="ArialMT" w:hAnsi="ArialMT"/>
          <w:sz w:val="22"/>
          <w:szCs w:val="22"/>
        </w:rPr>
        <w:t xml:space="preserve">́ mismo avalado por el ministerio de sanidad, se expone: </w:t>
      </w:r>
    </w:p>
    <w:p w:rsidR="00593DD6" w:rsidRDefault="00593DD6" w:rsidP="00593DD6">
      <w:pPr>
        <w:pStyle w:val="NormalWeb"/>
        <w:numPr>
          <w:ilvl w:val="0"/>
          <w:numId w:val="1"/>
        </w:numPr>
        <w:jc w:val="both"/>
        <w:rPr>
          <w:rFonts w:ascii="SymbolMT" w:hAnsi="SymbolMT"/>
        </w:rPr>
      </w:pPr>
      <w:r>
        <w:rPr>
          <w:rFonts w:ascii="ArialMT" w:hAnsi="ArialMT"/>
          <w:sz w:val="22"/>
          <w:szCs w:val="22"/>
        </w:rPr>
        <w:t xml:space="preserve">“La </w:t>
      </w:r>
      <w:proofErr w:type="spellStart"/>
      <w:r>
        <w:rPr>
          <w:rFonts w:ascii="ArialMT" w:hAnsi="ArialMT"/>
          <w:sz w:val="22"/>
          <w:szCs w:val="22"/>
        </w:rPr>
        <w:t>duración</w:t>
      </w:r>
      <w:proofErr w:type="spellEnd"/>
      <w:r>
        <w:rPr>
          <w:rFonts w:ascii="ArialMT" w:hAnsi="ArialMT"/>
          <w:sz w:val="22"/>
          <w:szCs w:val="22"/>
        </w:rPr>
        <w:t xml:space="preserve"> del lugar de </w:t>
      </w:r>
      <w:proofErr w:type="spellStart"/>
      <w:r>
        <w:rPr>
          <w:rFonts w:ascii="ArialMT" w:hAnsi="ArialMT"/>
          <w:sz w:val="22"/>
          <w:szCs w:val="22"/>
        </w:rPr>
        <w:t>punción</w:t>
      </w:r>
      <w:proofErr w:type="spellEnd"/>
      <w:r>
        <w:rPr>
          <w:rFonts w:ascii="ArialMT" w:hAnsi="ArialMT"/>
          <w:sz w:val="22"/>
          <w:szCs w:val="22"/>
        </w:rPr>
        <w:t xml:space="preserve">, </w:t>
      </w:r>
      <w:proofErr w:type="spellStart"/>
      <w:r>
        <w:rPr>
          <w:rFonts w:ascii="ArialMT" w:hAnsi="ArialMT"/>
          <w:sz w:val="22"/>
          <w:szCs w:val="22"/>
        </w:rPr>
        <w:t>además</w:t>
      </w:r>
      <w:proofErr w:type="spellEnd"/>
      <w:r>
        <w:rPr>
          <w:rFonts w:ascii="ArialMT" w:hAnsi="ArialMT"/>
          <w:sz w:val="22"/>
          <w:szCs w:val="22"/>
        </w:rPr>
        <w:t xml:space="preserve"> de la zona seleccionada depende </w:t>
      </w:r>
      <w:proofErr w:type="spellStart"/>
      <w:r>
        <w:rPr>
          <w:rFonts w:ascii="ArialMT" w:hAnsi="ArialMT"/>
          <w:sz w:val="22"/>
          <w:szCs w:val="22"/>
        </w:rPr>
        <w:t>básicamente</w:t>
      </w:r>
      <w:proofErr w:type="spellEnd"/>
      <w:r>
        <w:rPr>
          <w:rFonts w:ascii="ArialMT" w:hAnsi="ArialMT"/>
          <w:sz w:val="22"/>
          <w:szCs w:val="22"/>
        </w:rPr>
        <w:t xml:space="preserve"> del tipo de palomilla (las de </w:t>
      </w:r>
      <w:proofErr w:type="spellStart"/>
      <w:r>
        <w:rPr>
          <w:rFonts w:ascii="ArialMT" w:hAnsi="ArialMT"/>
          <w:sz w:val="22"/>
          <w:szCs w:val="22"/>
        </w:rPr>
        <w:t>Teflón</w:t>
      </w:r>
      <w:proofErr w:type="spellEnd"/>
      <w:r>
        <w:rPr>
          <w:rFonts w:ascii="ArialMT" w:hAnsi="ArialMT"/>
          <w:sz w:val="22"/>
          <w:szCs w:val="22"/>
        </w:rPr>
        <w:t xml:space="preserve"> duran una media de 11,9 + -1,7 </w:t>
      </w:r>
      <w:proofErr w:type="spellStart"/>
      <w:r>
        <w:rPr>
          <w:rFonts w:ascii="ArialMT" w:hAnsi="ArialMT"/>
          <w:sz w:val="22"/>
          <w:szCs w:val="22"/>
        </w:rPr>
        <w:t>días</w:t>
      </w:r>
      <w:proofErr w:type="spellEnd"/>
      <w:r>
        <w:rPr>
          <w:rFonts w:ascii="ArialMT" w:hAnsi="ArialMT"/>
          <w:sz w:val="22"/>
          <w:szCs w:val="22"/>
        </w:rPr>
        <w:t xml:space="preserve"> frente a las </w:t>
      </w:r>
      <w:proofErr w:type="spellStart"/>
      <w:r>
        <w:rPr>
          <w:rFonts w:ascii="ArialMT" w:hAnsi="ArialMT"/>
          <w:sz w:val="22"/>
          <w:szCs w:val="22"/>
        </w:rPr>
        <w:t>metálicas</w:t>
      </w:r>
      <w:proofErr w:type="spellEnd"/>
      <w:r>
        <w:rPr>
          <w:rFonts w:ascii="ArialMT" w:hAnsi="ArialMT"/>
          <w:sz w:val="22"/>
          <w:szCs w:val="22"/>
        </w:rPr>
        <w:t xml:space="preserve"> 5,3 + -0,5 </w:t>
      </w:r>
      <w:proofErr w:type="spellStart"/>
      <w:r>
        <w:rPr>
          <w:rFonts w:ascii="ArialMT" w:hAnsi="ArialMT"/>
          <w:sz w:val="22"/>
          <w:szCs w:val="22"/>
        </w:rPr>
        <w:t>días</w:t>
      </w:r>
      <w:proofErr w:type="spellEnd"/>
      <w:r>
        <w:rPr>
          <w:rFonts w:ascii="ArialMT" w:hAnsi="ArialMT"/>
          <w:sz w:val="22"/>
          <w:szCs w:val="22"/>
        </w:rPr>
        <w:t xml:space="preserve">) del tipo de </w:t>
      </w:r>
      <w:proofErr w:type="spellStart"/>
      <w:r>
        <w:rPr>
          <w:rFonts w:ascii="ArialMT" w:hAnsi="ArialMT"/>
          <w:sz w:val="22"/>
          <w:szCs w:val="22"/>
        </w:rPr>
        <w:t>fármaco</w:t>
      </w:r>
      <w:proofErr w:type="spellEnd"/>
      <w:r>
        <w:rPr>
          <w:rFonts w:ascii="ArialMT" w:hAnsi="ArialMT"/>
          <w:sz w:val="22"/>
          <w:szCs w:val="22"/>
        </w:rPr>
        <w:t xml:space="preserve"> administrado (</w:t>
      </w:r>
      <w:proofErr w:type="spellStart"/>
      <w:r>
        <w:rPr>
          <w:rFonts w:ascii="ArialMT" w:hAnsi="ArialMT"/>
          <w:sz w:val="22"/>
          <w:szCs w:val="22"/>
        </w:rPr>
        <w:t>más</w:t>
      </w:r>
      <w:proofErr w:type="spellEnd"/>
      <w:r>
        <w:rPr>
          <w:rFonts w:ascii="ArialMT" w:hAnsi="ArialMT"/>
          <w:sz w:val="22"/>
          <w:szCs w:val="22"/>
        </w:rPr>
        <w:t xml:space="preserve"> menos irritantes), volumen y frecuencia de </w:t>
      </w:r>
      <w:proofErr w:type="spellStart"/>
      <w:r>
        <w:rPr>
          <w:rFonts w:ascii="ArialMT" w:hAnsi="ArialMT"/>
          <w:sz w:val="22"/>
          <w:szCs w:val="22"/>
        </w:rPr>
        <w:t>aplicación</w:t>
      </w:r>
      <w:proofErr w:type="spellEnd"/>
      <w:r>
        <w:rPr>
          <w:rFonts w:ascii="ArialMT" w:hAnsi="ArialMT"/>
          <w:sz w:val="22"/>
          <w:szCs w:val="22"/>
        </w:rPr>
        <w:t xml:space="preserve">”. </w:t>
      </w:r>
    </w:p>
    <w:p w:rsidR="00593DD6" w:rsidRDefault="00593DD6" w:rsidP="00593DD6">
      <w:pPr>
        <w:pStyle w:val="NormalWeb"/>
        <w:numPr>
          <w:ilvl w:val="0"/>
          <w:numId w:val="1"/>
        </w:numPr>
        <w:jc w:val="both"/>
        <w:rPr>
          <w:rFonts w:ascii="SymbolMT" w:hAnsi="SymbolMT"/>
        </w:rPr>
      </w:pPr>
      <w:r>
        <w:rPr>
          <w:rFonts w:ascii="ArialMT" w:hAnsi="ArialMT"/>
          <w:sz w:val="22"/>
          <w:szCs w:val="22"/>
        </w:rPr>
        <w:t xml:space="preserve">“Cambiar el lugar de </w:t>
      </w:r>
      <w:proofErr w:type="spellStart"/>
      <w:r>
        <w:rPr>
          <w:rFonts w:ascii="ArialMT" w:hAnsi="ArialMT"/>
          <w:sz w:val="22"/>
          <w:szCs w:val="22"/>
        </w:rPr>
        <w:t>punción</w:t>
      </w:r>
      <w:proofErr w:type="spellEnd"/>
      <w:r>
        <w:rPr>
          <w:rFonts w:ascii="ArialMT" w:hAnsi="ArialMT"/>
          <w:sz w:val="22"/>
          <w:szCs w:val="22"/>
        </w:rPr>
        <w:t xml:space="preserve"> cuando se sospeche de una </w:t>
      </w:r>
      <w:proofErr w:type="spellStart"/>
      <w:r>
        <w:rPr>
          <w:rFonts w:ascii="ArialMT" w:hAnsi="ArialMT"/>
          <w:sz w:val="22"/>
          <w:szCs w:val="22"/>
        </w:rPr>
        <w:t>reducción</w:t>
      </w:r>
      <w:proofErr w:type="spellEnd"/>
      <w:r>
        <w:rPr>
          <w:rFonts w:ascii="ArialMT" w:hAnsi="ArialMT"/>
          <w:sz w:val="22"/>
          <w:szCs w:val="22"/>
        </w:rPr>
        <w:t xml:space="preserve"> de la </w:t>
      </w:r>
      <w:proofErr w:type="spellStart"/>
      <w:r>
        <w:rPr>
          <w:rFonts w:ascii="ArialMT" w:hAnsi="ArialMT"/>
          <w:sz w:val="22"/>
          <w:szCs w:val="22"/>
        </w:rPr>
        <w:t>absorción</w:t>
      </w:r>
      <w:proofErr w:type="spellEnd"/>
      <w:r>
        <w:rPr>
          <w:rFonts w:ascii="ArialMT" w:hAnsi="ArialMT"/>
          <w:sz w:val="22"/>
          <w:szCs w:val="22"/>
        </w:rPr>
        <w:t xml:space="preserve">, o de cualquier </w:t>
      </w:r>
      <w:proofErr w:type="spellStart"/>
      <w:r>
        <w:rPr>
          <w:rFonts w:ascii="ArialMT" w:hAnsi="ArialMT"/>
          <w:sz w:val="22"/>
          <w:szCs w:val="22"/>
        </w:rPr>
        <w:t>reacción</w:t>
      </w:r>
      <w:proofErr w:type="spellEnd"/>
      <w:r>
        <w:rPr>
          <w:rFonts w:ascii="ArialMT" w:hAnsi="ArialMT"/>
          <w:sz w:val="22"/>
          <w:szCs w:val="22"/>
        </w:rPr>
        <w:t xml:space="preserve"> local”. </w:t>
      </w:r>
    </w:p>
    <w:p w:rsidR="00593DD6" w:rsidRDefault="00593DD6" w:rsidP="00593DD6">
      <w:pPr>
        <w:pStyle w:val="NormalWeb"/>
        <w:jc w:val="both"/>
        <w:rPr>
          <w:rFonts w:ascii="SymbolMT" w:hAnsi="SymbolMT"/>
        </w:rPr>
      </w:pPr>
      <w:proofErr w:type="spellStart"/>
      <w:r>
        <w:rPr>
          <w:rFonts w:ascii="ArialMT" w:hAnsi="ArialMT"/>
          <w:sz w:val="22"/>
          <w:szCs w:val="22"/>
        </w:rPr>
        <w:t>Bibliografía</w:t>
      </w:r>
      <w:proofErr w:type="spellEnd"/>
      <w:r>
        <w:rPr>
          <w:rFonts w:ascii="ArialMT" w:hAnsi="ArialMT"/>
          <w:sz w:val="22"/>
          <w:szCs w:val="22"/>
        </w:rPr>
        <w:t xml:space="preserve"> 1: </w:t>
      </w:r>
      <w:proofErr w:type="spellStart"/>
      <w:r>
        <w:rPr>
          <w:rFonts w:ascii="ArialMT" w:hAnsi="ArialMT"/>
          <w:sz w:val="22"/>
          <w:szCs w:val="22"/>
        </w:rPr>
        <w:t>Guía</w:t>
      </w:r>
      <w:proofErr w:type="spellEnd"/>
      <w:r>
        <w:rPr>
          <w:rFonts w:ascii="ArialMT" w:hAnsi="ArialMT"/>
          <w:sz w:val="22"/>
          <w:szCs w:val="22"/>
        </w:rPr>
        <w:t xml:space="preserve"> de la </w:t>
      </w:r>
      <w:proofErr w:type="spellStart"/>
      <w:r>
        <w:rPr>
          <w:rFonts w:ascii="ArialMT" w:hAnsi="ArialMT"/>
          <w:sz w:val="22"/>
          <w:szCs w:val="22"/>
        </w:rPr>
        <w:t>práctica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clínica</w:t>
      </w:r>
      <w:proofErr w:type="spellEnd"/>
      <w:r>
        <w:rPr>
          <w:rFonts w:ascii="ArialMT" w:hAnsi="ArialMT"/>
          <w:sz w:val="22"/>
          <w:szCs w:val="22"/>
        </w:rPr>
        <w:t xml:space="preserve"> para el manejo de la </w:t>
      </w:r>
      <w:proofErr w:type="spellStart"/>
      <w:r>
        <w:rPr>
          <w:rFonts w:ascii="ArialMT" w:hAnsi="ArialMT"/>
          <w:sz w:val="22"/>
          <w:szCs w:val="22"/>
        </w:rPr>
        <w:t>vía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subcutánea</w:t>
      </w:r>
      <w:proofErr w:type="spellEnd"/>
      <w:r>
        <w:rPr>
          <w:rFonts w:ascii="ArialMT" w:hAnsi="ArialMT"/>
          <w:sz w:val="22"/>
          <w:szCs w:val="22"/>
        </w:rPr>
        <w:t xml:space="preserve">: </w:t>
      </w:r>
    </w:p>
    <w:p w:rsidR="00593DD6" w:rsidRDefault="00593DD6" w:rsidP="00593DD6">
      <w:pPr>
        <w:pStyle w:val="NormalWeb"/>
        <w:jc w:val="both"/>
        <w:rPr>
          <w:rFonts w:ascii="SymbolMT" w:hAnsi="SymbolMT"/>
        </w:rPr>
      </w:pPr>
      <w:r>
        <w:rPr>
          <w:rFonts w:ascii="ArialMT" w:hAnsi="ArialMT"/>
          <w:color w:val="0F54CC"/>
          <w:sz w:val="22"/>
          <w:szCs w:val="22"/>
        </w:rPr>
        <w:t xml:space="preserve">https://portal.guiasalud.es/wp- </w:t>
      </w:r>
      <w:proofErr w:type="spellStart"/>
      <w:r>
        <w:rPr>
          <w:rFonts w:ascii="ArialMT" w:hAnsi="ArialMT"/>
          <w:color w:val="0F54CC"/>
          <w:sz w:val="22"/>
          <w:szCs w:val="22"/>
        </w:rPr>
        <w:t>content</w:t>
      </w:r>
      <w:proofErr w:type="spellEnd"/>
      <w:r>
        <w:rPr>
          <w:rFonts w:ascii="ArialMT" w:hAnsi="ArialMT"/>
          <w:color w:val="0F54CC"/>
          <w:sz w:val="22"/>
          <w:szCs w:val="22"/>
        </w:rPr>
        <w:t>/</w:t>
      </w:r>
      <w:proofErr w:type="spellStart"/>
      <w:r>
        <w:rPr>
          <w:rFonts w:ascii="ArialMT" w:hAnsi="ArialMT"/>
          <w:color w:val="0F54CC"/>
          <w:sz w:val="22"/>
          <w:szCs w:val="22"/>
        </w:rPr>
        <w:t>uploads</w:t>
      </w:r>
      <w:proofErr w:type="spellEnd"/>
      <w:r>
        <w:rPr>
          <w:rFonts w:ascii="ArialMT" w:hAnsi="ArialMT"/>
          <w:color w:val="0F54CC"/>
          <w:sz w:val="22"/>
          <w:szCs w:val="22"/>
        </w:rPr>
        <w:t xml:space="preserve">/2021/01/gpc_606_via_subcutanea_compl.pdf </w:t>
      </w:r>
    </w:p>
    <w:p w:rsidR="00593DD6" w:rsidRDefault="00593DD6" w:rsidP="00593DD6">
      <w:pPr>
        <w:pStyle w:val="NormalWeb"/>
        <w:jc w:val="both"/>
        <w:rPr>
          <w:rFonts w:ascii="SymbolMT" w:hAnsi="SymbolMT"/>
        </w:rPr>
      </w:pPr>
      <w:proofErr w:type="spellStart"/>
      <w:r>
        <w:rPr>
          <w:rFonts w:ascii="ArialMT" w:hAnsi="ArialMT"/>
          <w:sz w:val="22"/>
          <w:szCs w:val="22"/>
        </w:rPr>
        <w:t>Bibliografía</w:t>
      </w:r>
      <w:proofErr w:type="spellEnd"/>
      <w:r>
        <w:rPr>
          <w:rFonts w:ascii="ArialMT" w:hAnsi="ArialMT"/>
          <w:sz w:val="22"/>
          <w:szCs w:val="22"/>
        </w:rPr>
        <w:t xml:space="preserve"> 2: </w:t>
      </w:r>
      <w:proofErr w:type="spellStart"/>
      <w:r>
        <w:rPr>
          <w:rFonts w:ascii="ArialMT" w:hAnsi="ArialMT"/>
          <w:sz w:val="22"/>
          <w:szCs w:val="22"/>
        </w:rPr>
        <w:t>Guía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clínica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vía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subcutánea</w:t>
      </w:r>
      <w:proofErr w:type="spellEnd"/>
      <w:r>
        <w:rPr>
          <w:rFonts w:ascii="ArialMT" w:hAnsi="ArialMT"/>
          <w:sz w:val="22"/>
          <w:szCs w:val="22"/>
        </w:rPr>
        <w:t xml:space="preserve">, usos y recomendaciones. Observatorio regional de cuidados paliativos de Extremadura. </w:t>
      </w:r>
      <w:r>
        <w:rPr>
          <w:rFonts w:ascii="ArialMT" w:hAnsi="ArialMT"/>
          <w:color w:val="0F54CC"/>
          <w:sz w:val="22"/>
          <w:szCs w:val="22"/>
        </w:rPr>
        <w:t xml:space="preserve">https://saludextremadura.ses.es/paliex/subcutanea </w:t>
      </w:r>
    </w:p>
    <w:p w:rsidR="00620F0E" w:rsidRPr="00593DD6" w:rsidRDefault="00620F0E">
      <w:pPr>
        <w:rPr>
          <w:lang w:val="es-ES"/>
        </w:rPr>
      </w:pPr>
    </w:p>
    <w:sectPr w:rsidR="00620F0E" w:rsidRPr="00593DD6" w:rsidSect="005B69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4D76"/>
    <w:multiLevelType w:val="multilevel"/>
    <w:tmpl w:val="B6C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D6"/>
    <w:rsid w:val="00593DD6"/>
    <w:rsid w:val="005B69AA"/>
    <w:rsid w:val="00620F0E"/>
    <w:rsid w:val="008047CD"/>
    <w:rsid w:val="009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9E180"/>
  <w15:chartTrackingRefBased/>
  <w15:docId w15:val="{BEB33EF5-2325-A046-BC6A-E83E1023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D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2021-04-03T17:54:00Z</dcterms:created>
  <dcterms:modified xsi:type="dcterms:W3CDTF">2021-04-03T17:56:00Z</dcterms:modified>
</cp:coreProperties>
</file>